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3BA09" w14:textId="57CCD53A" w:rsidR="008E3637" w:rsidRPr="00C62EC3" w:rsidRDefault="008E3637" w:rsidP="00D66014">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083BF0">
        <w:rPr>
          <w:rFonts w:hint="eastAsia"/>
          <w:b/>
          <w:iCs/>
          <w:noProof/>
          <w:sz w:val="24"/>
          <w:szCs w:val="24"/>
          <w:lang w:val="en-US" w:eastAsia="ja-JP"/>
        </w:rPr>
        <w:t>5025</w:t>
      </w:r>
    </w:p>
    <w:p w14:paraId="1C64CA0E" w14:textId="77777777" w:rsidR="008E3637" w:rsidRPr="00E9694C" w:rsidRDefault="008E3637" w:rsidP="008E3637">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FA86A22"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1B5654">
              <w:rPr>
                <w:rFonts w:ascii="Arial" w:eastAsia="Malgun Gothic" w:hAnsi="Arial"/>
                <w:b/>
                <w:sz w:val="28"/>
                <w:lang w:eastAsia="en-US"/>
              </w:rPr>
              <w:t>2</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76CFCCCF" w:rsidR="004C49A9" w:rsidRPr="00492B28"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1B5654">
              <w:rPr>
                <w:rFonts w:ascii="Arial" w:eastAsia="Malgun Gothic" w:hAnsi="Arial"/>
                <w:color w:val="000000"/>
                <w:sz w:val="20"/>
                <w:lang w:val="en-US" w:eastAsia="en-US"/>
              </w:rPr>
              <w:t>CAPC value for PSFCH+S-SSB</w:t>
            </w:r>
            <w:r w:rsidR="00492B28">
              <w:rPr>
                <w:rFonts w:asciiTheme="minorEastAsia" w:eastAsiaTheme="minorEastAsia" w:hAnsiTheme="minorEastAsia" w:hint="eastAsia"/>
                <w:color w:val="000000"/>
                <w:sz w:val="20"/>
                <w:lang w:val="en-US"/>
              </w:rPr>
              <w:t xml:space="preserve"> </w:t>
            </w:r>
            <w:r w:rsidR="00492B28">
              <w:rPr>
                <w:rFonts w:ascii="Arial" w:eastAsiaTheme="minorEastAsia" w:hAnsi="Arial" w:hint="eastAsia"/>
                <w:color w:val="000000"/>
                <w:sz w:val="20"/>
                <w:lang w:val="en-US"/>
              </w:rPr>
              <w:t>f</w:t>
            </w:r>
            <w:r w:rsidR="00492B28">
              <w:rPr>
                <w:rFonts w:ascii="Arial" w:eastAsiaTheme="minorEastAsia" w:hAnsi="Arial"/>
                <w:color w:val="000000"/>
                <w:sz w:val="20"/>
                <w:lang w:val="en-US"/>
              </w:rPr>
              <w:t>or SL-U</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6C1251EF" w:rsidR="004C49A9" w:rsidRPr="001D0A73"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163998">
              <w:rPr>
                <w:rFonts w:ascii="Arial" w:eastAsiaTheme="minorEastAsia" w:hAnsi="Arial"/>
                <w:sz w:val="20"/>
              </w:rPr>
              <w:t>0</w:t>
            </w:r>
            <w:r w:rsidR="008E3637">
              <w:rPr>
                <w:rFonts w:ascii="Arial" w:eastAsiaTheme="minorEastAsia" w:hAnsi="Arial"/>
                <w:sz w:val="20"/>
              </w:rPr>
              <w:t>5</w:t>
            </w:r>
            <w:r w:rsidRPr="008641EA">
              <w:rPr>
                <w:rFonts w:ascii="Arial" w:eastAsia="Malgun Gothic" w:hAnsi="Arial"/>
                <w:sz w:val="20"/>
                <w:lang w:eastAsia="en-US"/>
              </w:rPr>
              <w:t>-</w:t>
            </w:r>
            <w:r w:rsidR="008E3637">
              <w:rPr>
                <w:rFonts w:ascii="Arial" w:eastAsia="Malgun Gothic" w:hAnsi="Arial"/>
                <w:sz w:val="20"/>
                <w:lang w:eastAsia="en-US"/>
              </w:rPr>
              <w:t>10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1095DDCA" w14:textId="77777777" w:rsidR="00200EE8"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or SL transmissions including PSCCH/PSSCH, when Type 1 channel access is used for COT initiation, the CAPC value is determined based on PSCCH/PSSCH as defined in 38.300.</w:t>
            </w:r>
          </w:p>
          <w:p w14:paraId="52EC49DE" w14:textId="52A7F6DD" w:rsidR="004F3411" w:rsidRDefault="004F3411" w:rsidP="00E37FCA">
            <w:pPr>
              <w:rPr>
                <w:rFonts w:ascii="Arial" w:eastAsiaTheme="minorEastAsia" w:hAnsi="Arial"/>
                <w:noProof/>
                <w:sz w:val="20"/>
              </w:rPr>
            </w:pPr>
            <w:r>
              <w:rPr>
                <w:rFonts w:ascii="Arial" w:eastAsiaTheme="minorEastAsia" w:hAnsi="Arial" w:hint="eastAsia"/>
                <w:noProof/>
                <w:sz w:val="20"/>
              </w:rPr>
              <w:t>F</w:t>
            </w:r>
            <w:r>
              <w:rPr>
                <w:rFonts w:ascii="Arial" w:eastAsiaTheme="minorEastAsia" w:hAnsi="Arial"/>
                <w:noProof/>
                <w:sz w:val="20"/>
              </w:rPr>
              <w:t xml:space="preserve">or SL transmissions including PSFCH only or S-SSB only, when Type 1 channel access is used for COT initiation, the CAPC value is always </w:t>
            </w:r>
            <w:r w:rsidR="00375212">
              <w:rPr>
                <w:rFonts w:ascii="Arial" w:eastAsiaTheme="minorEastAsia" w:hAnsi="Arial"/>
                <w:noProof/>
                <w:sz w:val="20"/>
              </w:rPr>
              <w:t>1</w:t>
            </w:r>
            <w:r>
              <w:rPr>
                <w:rFonts w:ascii="Arial" w:eastAsiaTheme="minorEastAsia" w:hAnsi="Arial"/>
                <w:noProof/>
                <w:sz w:val="20"/>
              </w:rPr>
              <w:t>.</w:t>
            </w:r>
          </w:p>
          <w:p w14:paraId="391F5BAA" w14:textId="77777777" w:rsidR="004F3411" w:rsidRDefault="004F3411" w:rsidP="00E37FCA">
            <w:pPr>
              <w:rPr>
                <w:rFonts w:ascii="Arial" w:eastAsiaTheme="minorEastAsia" w:hAnsi="Arial"/>
                <w:noProof/>
                <w:sz w:val="20"/>
              </w:rPr>
            </w:pPr>
          </w:p>
          <w:p w14:paraId="0D49E0F2" w14:textId="77777777" w:rsidR="004F3411" w:rsidRDefault="004F3411" w:rsidP="00E37FCA">
            <w:pPr>
              <w:rPr>
                <w:rFonts w:ascii="Arial" w:eastAsiaTheme="minorEastAsia" w:hAnsi="Arial"/>
                <w:noProof/>
                <w:sz w:val="20"/>
              </w:rPr>
            </w:pPr>
            <w:r>
              <w:rPr>
                <w:rFonts w:ascii="Arial" w:eastAsiaTheme="minorEastAsia" w:hAnsi="Arial" w:hint="eastAsia"/>
                <w:noProof/>
                <w:sz w:val="20"/>
              </w:rPr>
              <w:t>H</w:t>
            </w:r>
            <w:r>
              <w:rPr>
                <w:rFonts w:ascii="Arial" w:eastAsiaTheme="minorEastAsia" w:hAnsi="Arial"/>
                <w:noProof/>
                <w:sz w:val="20"/>
              </w:rPr>
              <w:t>owever, one more case is missing. At slot n, PSFCH is transmitted, and then S-SSB transmission is transmitted at slot n+1. There is no other following transmissions. Clear rule to initiate a COT for this case should be added in spec.</w:t>
            </w:r>
          </w:p>
          <w:p w14:paraId="0940ACD4" w14:textId="77777777" w:rsidR="009304E6" w:rsidRDefault="009304E6" w:rsidP="009304E6">
            <w:pPr>
              <w:jc w:val="center"/>
              <w:rPr>
                <w:rFonts w:ascii="Arial" w:eastAsiaTheme="minorEastAsia" w:hAnsi="Arial"/>
                <w:noProof/>
                <w:sz w:val="20"/>
              </w:rPr>
            </w:pPr>
            <w:r w:rsidRPr="009304E6">
              <w:rPr>
                <w:rFonts w:ascii="Arial" w:eastAsiaTheme="minorEastAsia" w:hAnsi="Arial" w:hint="eastAsia"/>
                <w:noProof/>
                <w:sz w:val="20"/>
              </w:rPr>
              <w:drawing>
                <wp:inline distT="0" distB="0" distL="0" distR="0" wp14:anchorId="116E09F6" wp14:editId="3EB12DBE">
                  <wp:extent cx="2813957" cy="10201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493ED30B" w14:textId="07EA3C8C" w:rsidR="00B1526B" w:rsidRDefault="00375212" w:rsidP="008E3637">
            <w:pPr>
              <w:rPr>
                <w:rFonts w:ascii="Arial" w:eastAsiaTheme="minorEastAsia" w:hAnsi="Arial"/>
                <w:noProof/>
                <w:sz w:val="20"/>
              </w:rPr>
            </w:pPr>
            <w:r w:rsidRPr="005206DD">
              <w:rPr>
                <w:rFonts w:ascii="Arial" w:eastAsiaTheme="minorEastAsia" w:hAnsi="Arial" w:hint="eastAsia"/>
                <w:noProof/>
                <w:sz w:val="20"/>
                <w:highlight w:val="cyan"/>
              </w:rPr>
              <w:t>N</w:t>
            </w:r>
            <w:r w:rsidRPr="005206DD">
              <w:rPr>
                <w:rFonts w:ascii="Arial" w:eastAsiaTheme="minorEastAsia" w:hAnsi="Arial"/>
                <w:noProof/>
                <w:sz w:val="20"/>
                <w:highlight w:val="cyan"/>
              </w:rPr>
              <w:t xml:space="preserve">ote that this discussion is intended for a SL burst of PSFCH + S-SSB. </w:t>
            </w:r>
            <w:r w:rsidR="00B1526B" w:rsidRPr="005206DD">
              <w:rPr>
                <w:rFonts w:ascii="Arial" w:eastAsiaTheme="minorEastAsia" w:hAnsi="Arial"/>
                <w:noProof/>
                <w:sz w:val="20"/>
                <w:highlight w:val="cyan"/>
              </w:rPr>
              <w:t xml:space="preserve">CAPC = 1 is defined for ‘PSFCH-only’ and ‘S-SSB-only’, not for ‘PSFCH’ and ‘S-SSB’; this means that e.g., when SL </w:t>
            </w:r>
            <w:r w:rsidR="000E35A2">
              <w:rPr>
                <w:rFonts w:ascii="Arial" w:eastAsiaTheme="minorEastAsia" w:hAnsi="Arial" w:hint="eastAsia"/>
                <w:noProof/>
                <w:sz w:val="20"/>
                <w:highlight w:val="cyan"/>
              </w:rPr>
              <w:t>b</w:t>
            </w:r>
            <w:r w:rsidR="000E35A2">
              <w:rPr>
                <w:rFonts w:ascii="Arial" w:eastAsiaTheme="minorEastAsia" w:hAnsi="Arial"/>
                <w:noProof/>
                <w:sz w:val="20"/>
                <w:highlight w:val="cyan"/>
              </w:rPr>
              <w:t>urst</w:t>
            </w:r>
            <w:r w:rsidR="00B1526B" w:rsidRPr="005206DD">
              <w:rPr>
                <w:rFonts w:ascii="Arial" w:eastAsiaTheme="minorEastAsia" w:hAnsi="Arial"/>
                <w:noProof/>
                <w:sz w:val="20"/>
                <w:highlight w:val="cyan"/>
              </w:rPr>
              <w:t xml:space="preserve"> include PSFCH and PSCCH/PSSCH, there is no CAPC value associated with the PSFCH rather than CAPC for the PSFCH = 1. Then, no CAPC value is decieded for PSFCH + S-SSB even in the following text.</w:t>
            </w:r>
          </w:p>
          <w:tbl>
            <w:tblPr>
              <w:tblStyle w:val="afc"/>
              <w:tblW w:w="0" w:type="auto"/>
              <w:tblLayout w:type="fixed"/>
              <w:tblLook w:val="04A0" w:firstRow="1" w:lastRow="0" w:firstColumn="1" w:lastColumn="0" w:noHBand="0" w:noVBand="1"/>
            </w:tblPr>
            <w:tblGrid>
              <w:gridCol w:w="6852"/>
            </w:tblGrid>
            <w:tr w:rsidR="00375212" w14:paraId="33007BC8" w14:textId="77777777" w:rsidTr="00375212">
              <w:tc>
                <w:tcPr>
                  <w:tcW w:w="6852" w:type="dxa"/>
                </w:tcPr>
                <w:p w14:paraId="1BEECB78" w14:textId="2D8C23C0" w:rsidR="00375212" w:rsidRDefault="00375212" w:rsidP="008E3637">
                  <w:pPr>
                    <w:rPr>
                      <w:rFonts w:ascii="Arial" w:eastAsiaTheme="minorEastAsia" w:hAnsi="Arial"/>
                      <w:noProof/>
                      <w:sz w:val="20"/>
                    </w:rPr>
                  </w:pPr>
                  <w:r w:rsidRPr="00B906DB">
                    <w:rPr>
                      <w:rFonts w:eastAsia="游明朝"/>
                      <w:sz w:val="20"/>
                      <w:lang w:val="en-US" w:eastAsia="en-US"/>
                    </w:rPr>
                    <w:t xml:space="preserve">When a UE </w:t>
                  </w:r>
                  <w:r w:rsidRPr="00B906DB">
                    <w:rPr>
                      <w:rFonts w:eastAsia="Malgun Gothic"/>
                      <w:sz w:val="20"/>
                      <w:lang w:eastAsia="en-U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bl>
          <w:p w14:paraId="3E421C53" w14:textId="6CBED361" w:rsidR="00375212" w:rsidRPr="00E37FCA" w:rsidRDefault="00375212" w:rsidP="008E3637">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Summary of change:</w:t>
            </w:r>
          </w:p>
        </w:tc>
        <w:tc>
          <w:tcPr>
            <w:tcW w:w="6946" w:type="dxa"/>
            <w:gridSpan w:val="9"/>
            <w:tcBorders>
              <w:right w:val="single" w:sz="4" w:space="0" w:color="auto"/>
            </w:tcBorders>
            <w:shd w:val="pct30" w:color="FFFF00" w:fill="auto"/>
          </w:tcPr>
          <w:p w14:paraId="78C3E932" w14:textId="4D095EF3" w:rsidR="0003002D" w:rsidRPr="0003002D" w:rsidRDefault="00B906DB" w:rsidP="004C49A9">
            <w:pPr>
              <w:rPr>
                <w:rFonts w:ascii="Arial" w:eastAsiaTheme="minorEastAsia" w:hAnsi="Arial"/>
                <w:noProof/>
                <w:sz w:val="20"/>
              </w:rPr>
            </w:pPr>
            <w:r>
              <w:rPr>
                <w:rFonts w:ascii="Arial" w:eastAsiaTheme="minorEastAsia" w:hAnsi="Arial"/>
                <w:noProof/>
                <w:sz w:val="20"/>
              </w:rPr>
              <w:t xml:space="preserve">CAPC value is </w:t>
            </w:r>
            <w:r w:rsidR="00375212">
              <w:rPr>
                <w:rFonts w:ascii="Arial" w:eastAsiaTheme="minorEastAsia" w:hAnsi="Arial"/>
                <w:noProof/>
                <w:sz w:val="20"/>
              </w:rPr>
              <w:t>1</w:t>
            </w:r>
            <w:r>
              <w:rPr>
                <w:rFonts w:ascii="Arial" w:eastAsiaTheme="minorEastAsia" w:hAnsi="Arial"/>
                <w:noProof/>
                <w:sz w:val="20"/>
              </w:rPr>
              <w:t xml:space="preserve"> for this case. CAPC = </w:t>
            </w:r>
            <w:r w:rsidR="00375212">
              <w:rPr>
                <w:rFonts w:ascii="Arial" w:eastAsiaTheme="minorEastAsia" w:hAnsi="Arial"/>
                <w:noProof/>
                <w:sz w:val="20"/>
              </w:rPr>
              <w:t>1</w:t>
            </w:r>
            <w:r>
              <w:rPr>
                <w:rFonts w:ascii="Arial" w:eastAsiaTheme="minorEastAsia" w:hAnsi="Arial"/>
                <w:noProof/>
                <w:sz w:val="20"/>
              </w:rPr>
              <w:t xml:space="preserve"> for PSFCH-only and S-SSB-only. Then, for both PSFCH and S-SSB, there is no reason to adopt any other value.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3CEF02AB" w:rsidR="004C49A9" w:rsidRPr="008D2645" w:rsidRDefault="00B906DB" w:rsidP="00B5112E">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APC value for this case is undefined and therefore UE does not determine CAPC value for this case.</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FD3D9C0" w:rsidR="004C49A9" w:rsidRPr="004C49A9" w:rsidRDefault="004F3411" w:rsidP="00B5112E">
            <w:pPr>
              <w:rPr>
                <w:rFonts w:ascii="Arial" w:eastAsiaTheme="minorEastAsia" w:hAnsi="Arial"/>
                <w:noProof/>
                <w:sz w:val="20"/>
              </w:rPr>
            </w:pPr>
            <w:r>
              <w:rPr>
                <w:rFonts w:ascii="Arial" w:eastAsiaTheme="minorEastAsia" w:hAnsi="Arial" w:hint="eastAsia"/>
                <w:noProof/>
                <w:sz w:val="20"/>
              </w:rPr>
              <w:t>4</w:t>
            </w:r>
            <w:r>
              <w:rPr>
                <w:rFonts w:ascii="Arial" w:eastAsiaTheme="minorEastAsia" w:hAnsi="Arial"/>
                <w:noProof/>
                <w:sz w:val="20"/>
              </w:rPr>
              <w:t>.5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44B116B" w14:textId="77777777" w:rsidR="00B906DB" w:rsidRPr="00B906DB" w:rsidRDefault="00B906DB" w:rsidP="00B906DB">
      <w:pPr>
        <w:keepNext/>
        <w:keepLines/>
        <w:spacing w:before="180" w:after="180"/>
        <w:ind w:left="1134" w:hanging="1134"/>
        <w:outlineLvl w:val="1"/>
        <w:rPr>
          <w:rFonts w:ascii="Arial" w:eastAsia="游明朝" w:hAnsi="Arial"/>
          <w:sz w:val="32"/>
          <w:lang w:eastAsia="en-US"/>
        </w:rPr>
      </w:pPr>
      <w:bookmarkStart w:id="2" w:name="_Toc153443569"/>
      <w:bookmarkEnd w:id="0"/>
      <w:r w:rsidRPr="00B906DB">
        <w:rPr>
          <w:rFonts w:ascii="Arial" w:eastAsia="游明朝" w:hAnsi="Arial"/>
          <w:sz w:val="32"/>
          <w:lang w:eastAsia="en-US"/>
        </w:rPr>
        <w:lastRenderedPageBreak/>
        <w:t>4.5</w:t>
      </w:r>
      <w:r w:rsidRPr="00B906DB">
        <w:rPr>
          <w:rFonts w:ascii="Arial" w:eastAsia="游明朝" w:hAnsi="Arial"/>
          <w:sz w:val="32"/>
          <w:lang w:eastAsia="en-US"/>
        </w:rPr>
        <w:tab/>
        <w:t>Sidelink Channel access procedures</w:t>
      </w:r>
      <w:bookmarkEnd w:id="2"/>
    </w:p>
    <w:p w14:paraId="4EE7F08A"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A UE operating in sidelink resource allocation mode 1 or mode 2 and performing SL transmission(s) on channel(s) shall perform the procedures described in this clause for the UE to access the channel(s) on which the transmission(s) are performed.</w:t>
      </w:r>
    </w:p>
    <w:p w14:paraId="3303C097"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 xml:space="preserve">In this clause, transmissions from a UE are considered as separate SL transmissions, irrespective of having a gap between transmissions or not, and </w:t>
      </w:r>
      <m:oMath>
        <m:sSub>
          <m:sSubPr>
            <m:ctrlPr>
              <w:rPr>
                <w:rFonts w:ascii="Cambria Math" w:eastAsia="游明朝" w:hAnsi="Cambria Math"/>
                <w:i/>
                <w:sz w:val="20"/>
                <w:lang w:eastAsia="en-US"/>
              </w:rPr>
            </m:ctrlPr>
          </m:sSubPr>
          <m:e>
            <m:r>
              <w:rPr>
                <w:rFonts w:ascii="Cambria Math" w:eastAsia="游明朝" w:hAnsi="Cambria Math"/>
                <w:sz w:val="20"/>
                <w:lang w:eastAsia="en-US"/>
              </w:rPr>
              <m:t>X</m:t>
            </m:r>
          </m:e>
          <m:sub>
            <m:r>
              <m:rPr>
                <m:nor/>
              </m:rPr>
              <w:rPr>
                <w:rFonts w:eastAsia="游明朝"/>
                <w:sz w:val="20"/>
                <w:lang w:val="en-US" w:eastAsia="en-US"/>
              </w:rPr>
              <m:t>Thresh</m:t>
            </m:r>
            <m:ctrlPr>
              <w:rPr>
                <w:rFonts w:ascii="Cambria Math" w:eastAsia="游明朝" w:hAnsi="Cambria Math"/>
                <w:sz w:val="20"/>
                <w:lang w:eastAsia="en-US"/>
              </w:rPr>
            </m:ctrlPr>
          </m:sub>
        </m:sSub>
      </m:oMath>
      <w:r w:rsidRPr="00B906DB">
        <w:rPr>
          <w:rFonts w:eastAsia="游明朝"/>
          <w:sz w:val="20"/>
          <w:lang w:val="en-US" w:eastAsia="en-US"/>
        </w:rPr>
        <w:t xml:space="preserve"> for sensing is adjusted as described in clause 4.5.5 when applicable.</w:t>
      </w:r>
    </w:p>
    <w:p w14:paraId="32002E42" w14:textId="77777777" w:rsidR="00B906DB" w:rsidRPr="00B906DB" w:rsidRDefault="00B906DB" w:rsidP="00B906DB">
      <w:pPr>
        <w:spacing w:after="180"/>
        <w:rPr>
          <w:rFonts w:eastAsia="游明朝"/>
          <w:sz w:val="20"/>
          <w:lang w:val="en-US" w:eastAsia="x-none"/>
        </w:rPr>
      </w:pPr>
      <w:r w:rsidRPr="00B906DB">
        <w:rPr>
          <w:rFonts w:eastAsia="游明朝"/>
          <w:sz w:val="20"/>
          <w:lang w:val="en-US" w:eastAsia="x-none"/>
        </w:rPr>
        <w:t>A UE can access a channel on which SL transmission(s) are performed according to one of Type 1 or Type 2 SL channel access procedures as described in clauses 4.5.1 and 4.5.2, respectively.</w:t>
      </w:r>
    </w:p>
    <w:p w14:paraId="4BFB65CE" w14:textId="77777777" w:rsidR="00B906DB" w:rsidRPr="00B906DB" w:rsidRDefault="00B906DB" w:rsidP="00B906DB">
      <w:pPr>
        <w:spacing w:after="180"/>
        <w:rPr>
          <w:rFonts w:eastAsia="Malgun Gothic"/>
          <w:sz w:val="20"/>
          <w:lang w:eastAsia="en-US"/>
        </w:rPr>
      </w:pPr>
      <w:r w:rsidRPr="00B906DB">
        <w:rPr>
          <w:rFonts w:eastAsia="Malgun Gothic"/>
          <w:sz w:val="20"/>
          <w:lang w:eastAsia="en-US"/>
        </w:rPr>
        <w:t>When a UE applies Type 1 channel access procedures to transmit SL transmission(s), the applicable channel access priority class (CAPC) is defined in Table 4.5-1.</w:t>
      </w:r>
    </w:p>
    <w:p w14:paraId="067D62C9" w14:textId="77777777" w:rsidR="00B906DB" w:rsidRPr="00B906DB" w:rsidRDefault="00B906DB" w:rsidP="00B906DB">
      <w:pPr>
        <w:spacing w:after="180"/>
        <w:rPr>
          <w:rFonts w:eastAsia="Malgun Gothic"/>
          <w:sz w:val="20"/>
          <w:lang w:eastAsia="en-US"/>
        </w:rPr>
      </w:pPr>
      <w:r w:rsidRPr="00B906DB">
        <w:rPr>
          <w:rFonts w:eastAsia="Malgun Gothic"/>
          <w:sz w:val="20"/>
          <w:lang w:eastAsia="en-US"/>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游明朝" w:hAnsi="Cambria Math"/>
            <w:sz w:val="18"/>
            <w:szCs w:val="18"/>
            <w:lang w:eastAsia="en-US"/>
          </w:rPr>
          <m:t>p</m:t>
        </m:r>
      </m:oMath>
      <w:r w:rsidRPr="00B906DB">
        <w:rPr>
          <w:rFonts w:eastAsia="Malgun Gothic"/>
          <w:sz w:val="20"/>
          <w:lang w:eastAsia="en-US"/>
        </w:rPr>
        <w:t xml:space="preserve">  </w:t>
      </w:r>
      <w:r w:rsidRPr="00B906DB">
        <w:rPr>
          <w:rFonts w:eastAsia="游明朝"/>
          <w:sz w:val="20"/>
          <w:lang w:eastAsia="en-US"/>
        </w:rPr>
        <w:t>in Table 4.5-1 following the procedures described in Clause 16.9.x.2 in [9].</w:t>
      </w:r>
    </w:p>
    <w:p w14:paraId="13436F6C" w14:textId="2E683933" w:rsidR="00B906DB" w:rsidRPr="00B906DB" w:rsidRDefault="00B906DB" w:rsidP="00B906DB">
      <w:pPr>
        <w:spacing w:after="180"/>
        <w:rPr>
          <w:rFonts w:eastAsia="Malgun Gothic"/>
          <w:sz w:val="20"/>
          <w:lang w:eastAsia="en-US"/>
        </w:rPr>
      </w:pPr>
      <w:r w:rsidRPr="00B906DB">
        <w:rPr>
          <w:rFonts w:eastAsia="Malgun Gothic"/>
          <w:sz w:val="20"/>
          <w:lang w:eastAsia="en-US"/>
        </w:rPr>
        <w:t>When a UE applies Type 1 channel access procedures to transmit SL transmission(s) including only PSFCH</w:t>
      </w:r>
      <w:ins w:id="3" w:author="Shohei Yoshioka (吉岡 翔平)" w:date="2024-04-02T21:58:00Z">
        <w:r w:rsidRPr="00B906DB">
          <w:rPr>
            <w:rFonts w:eastAsia="游明朝"/>
            <w:sz w:val="20"/>
            <w:lang w:eastAsia="en-US"/>
          </w:rPr>
          <w:t xml:space="preserve"> transmission(s)</w:t>
        </w:r>
        <w:r>
          <w:rPr>
            <w:rFonts w:eastAsia="Malgun Gothic"/>
            <w:sz w:val="20"/>
            <w:lang w:eastAsia="en-US"/>
          </w:rPr>
          <w:t>,</w:t>
        </w:r>
      </w:ins>
      <w:r w:rsidRPr="00B906DB">
        <w:rPr>
          <w:rFonts w:eastAsia="Malgun Gothic"/>
          <w:sz w:val="20"/>
          <w:lang w:eastAsia="en-US"/>
        </w:rPr>
        <w:t xml:space="preserve"> </w:t>
      </w:r>
      <w:del w:id="4" w:author="Shohei Yoshioka (吉岡 翔平)" w:date="2024-04-02T21:58:00Z">
        <w:r w:rsidRPr="00B906DB" w:rsidDel="00B906DB">
          <w:rPr>
            <w:rFonts w:eastAsia="Malgun Gothic"/>
            <w:sz w:val="20"/>
            <w:lang w:eastAsia="en-US"/>
          </w:rPr>
          <w:delText xml:space="preserve">or </w:delText>
        </w:r>
      </w:del>
      <w:r w:rsidRPr="00B906DB">
        <w:rPr>
          <w:rFonts w:eastAsia="Malgun Gothic"/>
          <w:sz w:val="20"/>
          <w:lang w:eastAsia="en-US"/>
        </w:rPr>
        <w:t>only S-SSB</w:t>
      </w:r>
      <w:ins w:id="5" w:author="Shohei Yoshioka (吉岡 翔平)" w:date="2024-04-02T21:59:00Z">
        <w:r w:rsidRPr="00B906DB">
          <w:rPr>
            <w:rFonts w:eastAsia="游明朝"/>
            <w:sz w:val="20"/>
            <w:lang w:eastAsia="en-US"/>
          </w:rPr>
          <w:t xml:space="preserve"> transmission(s)</w:t>
        </w:r>
      </w:ins>
      <w:ins w:id="6" w:author="Shohei Yoshioka (吉岡 翔平)" w:date="2024-04-02T21:58:00Z">
        <w:r>
          <w:rPr>
            <w:rFonts w:eastAsia="Malgun Gothic"/>
            <w:sz w:val="20"/>
            <w:lang w:eastAsia="en-US"/>
          </w:rPr>
          <w:t xml:space="preserve">, or </w:t>
        </w:r>
      </w:ins>
      <w:ins w:id="7" w:author="Shohei Yoshioka (吉岡 翔平)" w:date="2024-04-02T21:59:00Z">
        <w:r>
          <w:rPr>
            <w:rFonts w:eastAsia="Malgun Gothic"/>
            <w:sz w:val="20"/>
            <w:lang w:eastAsia="en-US"/>
          </w:rPr>
          <w:t>only PSFCH and S-SSB</w:t>
        </w:r>
      </w:ins>
      <w:r w:rsidRPr="00B906DB">
        <w:rPr>
          <w:rFonts w:eastAsia="游明朝"/>
          <w:sz w:val="20"/>
          <w:lang w:eastAsia="en-US"/>
        </w:rPr>
        <w:t xml:space="preserve"> transmission(s), the UE shall use</w:t>
      </w:r>
      <w:r w:rsidRPr="00B906DB">
        <w:rPr>
          <w:rFonts w:eastAsia="游明朝"/>
          <w:sz w:val="20"/>
          <w:lang w:val="en-US" w:eastAsia="en-US"/>
        </w:rPr>
        <w:t xml:space="preserve"> the channel access priority class </w:t>
      </w:r>
      <m:oMath>
        <m:r>
          <w:rPr>
            <w:rFonts w:ascii="Cambria Math" w:eastAsia="游明朝" w:hAnsi="Cambria Math"/>
            <w:sz w:val="20"/>
            <w:lang w:eastAsia="en-US"/>
          </w:rPr>
          <m:t>p</m:t>
        </m:r>
        <m:r>
          <w:rPr>
            <w:rFonts w:ascii="Cambria Math" w:eastAsia="游明朝" w:hAnsi="Cambria Math"/>
            <w:sz w:val="20"/>
            <w:lang w:val="en-US" w:eastAsia="en-US"/>
          </w:rPr>
          <m:t>=1</m:t>
        </m:r>
      </m:oMath>
      <w:r w:rsidRPr="00B906DB">
        <w:rPr>
          <w:rFonts w:eastAsia="游明朝"/>
          <w:sz w:val="20"/>
          <w:lang w:val="en-US" w:eastAsia="en-US"/>
        </w:rPr>
        <w:t xml:space="preserve"> in Table 4.5-1.</w:t>
      </w:r>
    </w:p>
    <w:p w14:paraId="71E1FAA7" w14:textId="77777777" w:rsidR="00B906DB" w:rsidRPr="00B906DB" w:rsidRDefault="00B906DB" w:rsidP="00B906DB">
      <w:pPr>
        <w:spacing w:after="180"/>
        <w:rPr>
          <w:rFonts w:eastAsia="Malgun Gothic"/>
          <w:sz w:val="20"/>
          <w:lang w:eastAsia="ko-KR"/>
        </w:rPr>
      </w:pPr>
      <w:r w:rsidRPr="00B906DB">
        <w:rPr>
          <w:rFonts w:eastAsia="Malgun Gothic"/>
          <w:sz w:val="20"/>
          <w:lang w:val="en-US" w:eastAsia="ko-KR"/>
        </w:rPr>
        <w:t xml:space="preserve">A UE shall not transmit on a channel for a </w:t>
      </w:r>
      <w:r w:rsidRPr="00B906DB">
        <w:rPr>
          <w:rFonts w:eastAsia="Malgun Gothic"/>
          <w:i/>
          <w:iCs/>
          <w:sz w:val="20"/>
          <w:lang w:val="en-US" w:eastAsia="ko-KR"/>
        </w:rPr>
        <w:t>Channel Occupancy Time</w:t>
      </w:r>
      <w:r w:rsidRPr="00B906DB">
        <w:rPr>
          <w:rFonts w:eastAsia="Malgun Gothic"/>
          <w:sz w:val="20"/>
          <w:lang w:val="en-US" w:eastAsia="ko-KR"/>
        </w:rPr>
        <w:t xml:space="preserve"> that exceeds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w:rPr>
                <w:rFonts w:ascii="Cambria Math" w:eastAsia="游明朝" w:hAnsi="Cambria Math"/>
                <w:sz w:val="20"/>
                <w:lang w:eastAsia="en-US"/>
              </w:rPr>
              <m:t>slm</m:t>
            </m:r>
            <m:func>
              <m:funcPr>
                <m:ctrlPr>
                  <w:rPr>
                    <w:rFonts w:ascii="Cambria Math" w:eastAsia="游明朝" w:hAnsi="Cambria Math"/>
                    <w:i/>
                    <w:sz w:val="20"/>
                    <w:lang w:eastAsia="en-US"/>
                  </w:rPr>
                </m:ctrlPr>
              </m:funcPr>
              <m:fName>
                <m:r>
                  <w:rPr>
                    <w:rFonts w:ascii="Cambria Math" w:eastAsia="游明朝" w:hAnsi="Cambria Math"/>
                    <w:sz w:val="20"/>
                    <w:lang w:eastAsia="en-US"/>
                  </w:rPr>
                  <m:t>cot</m:t>
                </m:r>
                <m:r>
                  <w:rPr>
                    <w:rFonts w:ascii="Cambria Math" w:eastAsia="游明朝" w:hAnsi="Cambria Math"/>
                    <w:sz w:val="20"/>
                    <w:lang w:val="en-US" w:eastAsia="en-US"/>
                  </w:rPr>
                  <m:t>,</m:t>
                </m:r>
              </m:fName>
              <m:e>
                <m:r>
                  <w:rPr>
                    <w:rFonts w:ascii="Cambria Math" w:eastAsia="游明朝" w:hAnsi="Cambria Math"/>
                    <w:sz w:val="20"/>
                    <w:lang w:eastAsia="en-US"/>
                  </w:rPr>
                  <m:t>p</m:t>
                </m:r>
              </m:e>
            </m:func>
          </m:sub>
        </m:sSub>
      </m:oMath>
      <w:r w:rsidRPr="00B906DB">
        <w:rPr>
          <w:rFonts w:eastAsia="Malgun Gothic"/>
          <w:sz w:val="20"/>
          <w:lang w:eastAsia="en-US"/>
        </w:rPr>
        <w:t xml:space="preserve"> where the channel access procedure is performed based on the channel access priority class </w:t>
      </w:r>
      <m:oMath>
        <m:r>
          <w:rPr>
            <w:rFonts w:ascii="Cambria Math" w:eastAsia="Malgun Gothic" w:hAnsi="Cambria Math"/>
            <w:sz w:val="20"/>
            <w:lang w:eastAsia="ko-KR"/>
          </w:rPr>
          <m:t xml:space="preserve">p </m:t>
        </m:r>
      </m:oMath>
      <w:r w:rsidRPr="00B906DB">
        <w:rPr>
          <w:rFonts w:eastAsia="Malgun Gothic"/>
          <w:sz w:val="20"/>
          <w:lang w:eastAsia="ko-KR"/>
        </w:rPr>
        <w:t xml:space="preserve"> associated with the UE transmissions, as given in Table 4.5-1.</w:t>
      </w:r>
    </w:p>
    <w:p w14:paraId="0559D85A" w14:textId="77777777" w:rsidR="00B906DB" w:rsidRPr="00B906DB" w:rsidRDefault="00B906DB" w:rsidP="00B906DB">
      <w:pPr>
        <w:spacing w:after="180"/>
        <w:rPr>
          <w:rFonts w:eastAsia="Malgun Gothic"/>
          <w:sz w:val="20"/>
          <w:lang w:eastAsia="en-US"/>
        </w:rPr>
      </w:pPr>
      <w:r w:rsidRPr="00B906DB">
        <w:rPr>
          <w:rFonts w:eastAsia="游明朝"/>
          <w:sz w:val="20"/>
          <w:lang w:val="en-US" w:eastAsia="en-US"/>
        </w:rPr>
        <w:t xml:space="preserve">When a UE </w:t>
      </w:r>
      <w:r w:rsidRPr="00B906DB">
        <w:rPr>
          <w:rFonts w:eastAsia="Malgun Gothic"/>
          <w:sz w:val="20"/>
          <w:lang w:eastAsia="en-U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62CD9596" w14:textId="77777777" w:rsidR="00B906DB" w:rsidRPr="00B906DB" w:rsidRDefault="00B906DB" w:rsidP="00B906DB">
      <w:pPr>
        <w:spacing w:after="180"/>
        <w:rPr>
          <w:rFonts w:eastAsia="游明朝"/>
          <w:sz w:val="20"/>
          <w:lang w:val="en-US" w:eastAsia="en-US"/>
        </w:rPr>
      </w:pPr>
      <w:r w:rsidRPr="00B906DB">
        <w:rPr>
          <w:rFonts w:eastAsia="游明朝"/>
          <w:sz w:val="20"/>
          <w:lang w:val="en-US" w:eastAsia="en-US"/>
        </w:rPr>
        <w:t>If a UE fails to access the channel(s) prior to an intended SL transmission(s), Layer 1 notifies higher layers about the channel access failure and the channel(s) that the UE fails to access.</w:t>
      </w:r>
    </w:p>
    <w:p w14:paraId="43A53059" w14:textId="77777777" w:rsidR="005F0DE6" w:rsidRPr="00AC0D89" w:rsidRDefault="005F0DE6" w:rsidP="005F0DE6">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5F0DE6"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B218A" w14:textId="77777777" w:rsidR="006228CE" w:rsidRDefault="006228CE">
      <w:r>
        <w:separator/>
      </w:r>
    </w:p>
  </w:endnote>
  <w:endnote w:type="continuationSeparator" w:id="0">
    <w:p w14:paraId="40D3BADC" w14:textId="77777777" w:rsidR="006228CE" w:rsidRDefault="006228CE">
      <w:r>
        <w:continuationSeparator/>
      </w:r>
    </w:p>
  </w:endnote>
  <w:endnote w:type="continuationNotice" w:id="1">
    <w:p w14:paraId="417E62E1" w14:textId="77777777" w:rsidR="006228CE" w:rsidRDefault="00622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DBCB4" w14:textId="77777777" w:rsidR="006228CE" w:rsidRDefault="006228CE">
      <w:r>
        <w:separator/>
      </w:r>
    </w:p>
  </w:footnote>
  <w:footnote w:type="continuationSeparator" w:id="0">
    <w:p w14:paraId="2D073DF4" w14:textId="77777777" w:rsidR="006228CE" w:rsidRDefault="006228CE">
      <w:r>
        <w:continuationSeparator/>
      </w:r>
    </w:p>
  </w:footnote>
  <w:footnote w:type="continuationNotice" w:id="1">
    <w:p w14:paraId="0672B3C6" w14:textId="77777777" w:rsidR="006228CE" w:rsidRDefault="006228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26200</TotalTime>
  <Pages>3</Pages>
  <Words>785</Words>
  <Characters>4478</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1582</cp:revision>
  <cp:lastPrinted>2016-09-21T11:03:00Z</cp:lastPrinted>
  <dcterms:created xsi:type="dcterms:W3CDTF">2019-02-15T07:05:00Z</dcterms:created>
  <dcterms:modified xsi:type="dcterms:W3CDTF">2024-05-10T11:47:00Z</dcterms:modified>
</cp:coreProperties>
</file>